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3F" w:rsidRPr="003C7BC8" w:rsidRDefault="00DA7D3F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216E93">
      <w:pPr>
        <w:spacing w:after="60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D./Dña. ____________________________________, con DNI nº ________________, con domicilio a efectos de notificaciones en ____________________________________, correo electrónico ___________________________ y teléfono __________________________,</w:t>
      </w:r>
      <w:r w:rsidR="007017E8" w:rsidRPr="003C7BC8">
        <w:rPr>
          <w:rFonts w:ascii="Arial" w:hAnsi="Arial" w:cs="Arial"/>
          <w:sz w:val="24"/>
          <w:szCs w:val="24"/>
        </w:rPr>
        <w:t xml:space="preserve"> comparece y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216E93">
      <w:pPr>
        <w:spacing w:after="720"/>
        <w:jc w:val="both"/>
        <w:rPr>
          <w:rFonts w:ascii="Arial" w:hAnsi="Arial" w:cs="Arial"/>
          <w:b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EXPONE</w:t>
      </w:r>
      <w:r w:rsidR="007017E8" w:rsidRPr="003C7BC8">
        <w:rPr>
          <w:rFonts w:ascii="Arial" w:hAnsi="Arial" w:cs="Arial"/>
          <w:b/>
          <w:sz w:val="24"/>
          <w:szCs w:val="24"/>
        </w:rPr>
        <w:t>:</w:t>
      </w:r>
    </w:p>
    <w:p w:rsidR="00B733E6" w:rsidRPr="003C7BC8" w:rsidRDefault="00B733E6" w:rsidP="007372D1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PRIMERO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es funcionario/a docente (de carrera / interino/a) al servicio de la Generalitat Valenciana</w:t>
      </w:r>
      <w:r w:rsidR="007017E8" w:rsidRPr="003C7BC8">
        <w:rPr>
          <w:rFonts w:ascii="Arial" w:hAnsi="Arial" w:cs="Arial"/>
          <w:sz w:val="24"/>
          <w:szCs w:val="24"/>
        </w:rPr>
        <w:t xml:space="preserve"> desde </w:t>
      </w:r>
      <w:r w:rsidRPr="003C7BC8">
        <w:rPr>
          <w:rFonts w:ascii="Arial" w:hAnsi="Arial" w:cs="Arial"/>
          <w:sz w:val="24"/>
          <w:szCs w:val="24"/>
        </w:rPr>
        <w:t>__________________, actualmente destinado/a en el centro __________________________________.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SEGUNDO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en sus retribuciones ordinarias mensuales percibe, entre otros, los siguientes conceptos retributivos: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Sueldo base del subgrupo A1/A2.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Trienios por antigüedad.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Complemento de destino.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Complemento específico.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Complemento de formación permanente (sexenios).</w:t>
      </w:r>
    </w:p>
    <w:p w:rsidR="00B733E6" w:rsidRPr="003C7BC8" w:rsidRDefault="007017E8" w:rsidP="007372D1">
      <w:pPr>
        <w:pStyle w:val="Prrafodelista"/>
        <w:numPr>
          <w:ilvl w:val="0"/>
          <w:numId w:val="2"/>
        </w:numPr>
        <w:spacing w:after="36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(Añadir, e</w:t>
      </w:r>
      <w:r w:rsidR="00B733E6" w:rsidRPr="003C7BC8">
        <w:rPr>
          <w:rFonts w:ascii="Arial" w:hAnsi="Arial" w:cs="Arial"/>
          <w:sz w:val="24"/>
          <w:szCs w:val="24"/>
        </w:rPr>
        <w:t>n su caso, otros complementos fijos y periódicos vinculados al puesto desempeñado, tales como jefatura de departamento, coordinación, cargos directivos u otros análogos</w:t>
      </w:r>
      <w:r w:rsidRPr="003C7BC8">
        <w:rPr>
          <w:rFonts w:ascii="Arial" w:hAnsi="Arial" w:cs="Arial"/>
          <w:sz w:val="24"/>
          <w:szCs w:val="24"/>
        </w:rPr>
        <w:t>)</w:t>
      </w:r>
      <w:r w:rsidR="00B733E6" w:rsidRPr="003C7BC8">
        <w:rPr>
          <w:rFonts w:ascii="Arial" w:hAnsi="Arial" w:cs="Arial"/>
          <w:sz w:val="24"/>
          <w:szCs w:val="24"/>
        </w:rPr>
        <w:t>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TERCERO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Que, sin embargo, en las pagas extraordinarias de junio y diciembre la Administración viene abonando únicamente: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70 % del sueldo base,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70 % de los trienios,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100 % del complemento de destino,</w:t>
      </w:r>
    </w:p>
    <w:p w:rsidR="00B733E6" w:rsidRPr="003C7BC8" w:rsidRDefault="00B733E6" w:rsidP="007017E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100 % del complemento específico,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7017E8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</w:t>
      </w:r>
      <w:r w:rsidR="00B733E6" w:rsidRPr="003C7BC8">
        <w:rPr>
          <w:rFonts w:ascii="Arial" w:hAnsi="Arial" w:cs="Arial"/>
          <w:sz w:val="24"/>
          <w:szCs w:val="24"/>
        </w:rPr>
        <w:t>xcluyendo de forma sistemática</w:t>
      </w:r>
      <w:r w:rsidRPr="003C7BC8">
        <w:rPr>
          <w:rFonts w:ascii="Arial" w:hAnsi="Arial" w:cs="Arial"/>
          <w:sz w:val="24"/>
          <w:szCs w:val="24"/>
        </w:rPr>
        <w:t xml:space="preserve"> </w:t>
      </w:r>
      <w:r w:rsidR="00B733E6" w:rsidRPr="003C7BC8">
        <w:rPr>
          <w:rFonts w:ascii="Arial" w:hAnsi="Arial" w:cs="Arial"/>
          <w:sz w:val="24"/>
          <w:szCs w:val="24"/>
        </w:rPr>
        <w:t>el complemento de formación permanente (sexenios) y otros complementos retributivos fijos y regulares como jefaturas de departamento, cargos directivos u otros complementos estructurales percibidos habitualmente mes a mes.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3607" w:rsidRDefault="00AF3607" w:rsidP="00B733E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CUARTO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dicha práctica vulnera lo dispuesto en el artículo 22.4 del Estatuto Básico del Empleado Público (Real Decreto Legislativo 5/2015), que establece</w:t>
      </w:r>
      <w:r w:rsidR="00D43B47" w:rsidRPr="003C7BC8">
        <w:rPr>
          <w:rFonts w:ascii="Arial" w:hAnsi="Arial" w:cs="Arial"/>
          <w:sz w:val="24"/>
          <w:szCs w:val="24"/>
        </w:rPr>
        <w:t xml:space="preserve"> que</w:t>
      </w:r>
      <w:r w:rsidRPr="003C7BC8">
        <w:rPr>
          <w:rFonts w:ascii="Arial" w:hAnsi="Arial" w:cs="Arial"/>
          <w:sz w:val="24"/>
          <w:szCs w:val="24"/>
        </w:rPr>
        <w:t>:</w:t>
      </w:r>
      <w:r w:rsidR="00D43B47" w:rsidRPr="003C7BC8">
        <w:rPr>
          <w:rFonts w:ascii="Arial" w:hAnsi="Arial" w:cs="Arial"/>
          <w:sz w:val="24"/>
          <w:szCs w:val="24"/>
        </w:rPr>
        <w:t xml:space="preserve"> </w:t>
      </w:r>
      <w:r w:rsidRPr="003C7BC8">
        <w:rPr>
          <w:rFonts w:ascii="Arial" w:hAnsi="Arial" w:cs="Arial"/>
          <w:sz w:val="24"/>
          <w:szCs w:val="24"/>
        </w:rPr>
        <w:t>“Las pagas extraordinarias serán dos al año, cada una por el importe de una mensualidad de retribuciones básicas y de la totalidad de las retribuciones complementarias, salvo aquéllas a las que se refieren los apartados c) y d) del artículo 24”</w:t>
      </w:r>
      <w:r w:rsidR="00D43B47" w:rsidRPr="003C7BC8">
        <w:rPr>
          <w:rFonts w:ascii="Arial" w:hAnsi="Arial" w:cs="Arial"/>
          <w:sz w:val="24"/>
          <w:szCs w:val="24"/>
        </w:rPr>
        <w:t xml:space="preserve"> </w:t>
      </w:r>
      <w:r w:rsidRPr="003C7BC8">
        <w:rPr>
          <w:rFonts w:ascii="Arial" w:hAnsi="Arial" w:cs="Arial"/>
          <w:sz w:val="24"/>
          <w:szCs w:val="24"/>
        </w:rPr>
        <w:t>(productividad y servicios extraordinarios).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Este precepto, de carácter básico y prevalente en todo el Estado conforme al art. 149.1.18ª CE, impone que cada paga extraordinaria incluya</w:t>
      </w:r>
      <w:r w:rsidR="00D43B47" w:rsidRPr="003C7BC8">
        <w:rPr>
          <w:rFonts w:ascii="Arial" w:hAnsi="Arial" w:cs="Arial"/>
          <w:sz w:val="24"/>
          <w:szCs w:val="24"/>
        </w:rPr>
        <w:t xml:space="preserve"> e</w:t>
      </w:r>
      <w:r w:rsidRPr="003C7BC8">
        <w:rPr>
          <w:rFonts w:ascii="Arial" w:hAnsi="Arial" w:cs="Arial"/>
          <w:sz w:val="24"/>
          <w:szCs w:val="24"/>
        </w:rPr>
        <w:t>l 100 % de las retribuciones básicas</w:t>
      </w:r>
      <w:r w:rsidR="00D43B47" w:rsidRPr="003C7BC8">
        <w:rPr>
          <w:rFonts w:ascii="Arial" w:hAnsi="Arial" w:cs="Arial"/>
          <w:sz w:val="24"/>
          <w:szCs w:val="24"/>
        </w:rPr>
        <w:t xml:space="preserve"> (sueldo y trienios) y l</w:t>
      </w:r>
      <w:r w:rsidRPr="003C7BC8">
        <w:rPr>
          <w:rFonts w:ascii="Arial" w:hAnsi="Arial" w:cs="Arial"/>
          <w:sz w:val="24"/>
          <w:szCs w:val="24"/>
        </w:rPr>
        <w:t>a totalidad de las retribuciones complementarias, salvo productividad y gratificaciones por servicios extraordinarios.</w:t>
      </w:r>
    </w:p>
    <w:p w:rsidR="00C05CC9" w:rsidRDefault="00C05CC9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5CC9" w:rsidRPr="00C05CC9" w:rsidRDefault="00C05CC9" w:rsidP="007372D1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norma básica se complementa en la Comunidad Valenciana, con lo que establecen los artículos 85.2 y 88 de la</w:t>
      </w:r>
      <w:r w:rsidRPr="00C05CC9">
        <w:t xml:space="preserve"> </w:t>
      </w:r>
      <w:r w:rsidRPr="00C05CC9">
        <w:rPr>
          <w:rFonts w:ascii="Arial" w:hAnsi="Arial" w:cs="Arial"/>
          <w:sz w:val="24"/>
          <w:szCs w:val="24"/>
        </w:rPr>
        <w:t>la Ley 4/2021, de 16 de abril, de la Función Pública Valenciana</w:t>
      </w:r>
      <w:r>
        <w:rPr>
          <w:rFonts w:ascii="Arial" w:hAnsi="Arial" w:cs="Arial"/>
          <w:sz w:val="24"/>
          <w:szCs w:val="24"/>
        </w:rPr>
        <w:t xml:space="preserve">, que establecen que </w:t>
      </w:r>
      <w:r w:rsidR="004B7338">
        <w:rPr>
          <w:rFonts w:ascii="Arial" w:hAnsi="Arial" w:cs="Arial"/>
          <w:sz w:val="24"/>
          <w:szCs w:val="24"/>
        </w:rPr>
        <w:t>e</w:t>
      </w:r>
      <w:r w:rsidR="004B7338" w:rsidRPr="004B7338">
        <w:rPr>
          <w:rFonts w:ascii="Arial" w:hAnsi="Arial" w:cs="Arial"/>
          <w:sz w:val="24"/>
          <w:szCs w:val="24"/>
        </w:rPr>
        <w:t>l personal funcionario</w:t>
      </w:r>
      <w:r w:rsidR="004B7338">
        <w:rPr>
          <w:rFonts w:ascii="Arial" w:hAnsi="Arial" w:cs="Arial"/>
          <w:sz w:val="24"/>
          <w:szCs w:val="24"/>
        </w:rPr>
        <w:t>,</w:t>
      </w:r>
      <w:r w:rsidR="004B7338" w:rsidRPr="004B7338">
        <w:rPr>
          <w:rFonts w:ascii="Arial" w:hAnsi="Arial" w:cs="Arial"/>
          <w:sz w:val="24"/>
          <w:szCs w:val="24"/>
        </w:rPr>
        <w:t xml:space="preserve"> asimismo, percibirá las pagas extraordinarias en los términos establecidos en el artículo 88</w:t>
      </w:r>
      <w:r w:rsidR="004B7338">
        <w:rPr>
          <w:rFonts w:ascii="Arial" w:hAnsi="Arial" w:cs="Arial"/>
          <w:sz w:val="24"/>
          <w:szCs w:val="24"/>
        </w:rPr>
        <w:t>, que dice que: “</w:t>
      </w:r>
      <w:r w:rsidR="004B7338" w:rsidRPr="004B7338">
        <w:rPr>
          <w:rFonts w:ascii="Arial" w:hAnsi="Arial" w:cs="Arial"/>
          <w:sz w:val="24"/>
          <w:szCs w:val="24"/>
        </w:rPr>
        <w:t>Las pagas extraordinarias serán dos al año, cada una por el importe de una mensualidad de las retribuciones básicas y de las complementarias vinculadas a la carrera administrativa y al puesto de trabajo</w:t>
      </w:r>
      <w:r w:rsidR="004B7338">
        <w:rPr>
          <w:rFonts w:ascii="Arial" w:hAnsi="Arial" w:cs="Arial"/>
          <w:sz w:val="24"/>
          <w:szCs w:val="24"/>
        </w:rPr>
        <w:t>”.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QUINTO</w:t>
      </w:r>
      <w:r w:rsidR="00D43B47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la doctrina del Tribunal Supremo ha consolidado de manera definitiva este criterio. Entre otras, destacan: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216E93" w:rsidRDefault="00B733E6" w:rsidP="00216E93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6E93">
        <w:rPr>
          <w:rFonts w:ascii="Arial" w:hAnsi="Arial" w:cs="Arial"/>
          <w:b/>
          <w:sz w:val="24"/>
          <w:szCs w:val="24"/>
        </w:rPr>
        <w:t xml:space="preserve">STS </w:t>
      </w:r>
      <w:r w:rsidR="00AE0992" w:rsidRPr="00216E93">
        <w:rPr>
          <w:rFonts w:ascii="Arial" w:hAnsi="Arial" w:cs="Arial"/>
          <w:b/>
          <w:sz w:val="24"/>
          <w:szCs w:val="24"/>
        </w:rPr>
        <w:t xml:space="preserve">núm. </w:t>
      </w:r>
      <w:r w:rsidRPr="00216E93">
        <w:rPr>
          <w:rFonts w:ascii="Arial" w:hAnsi="Arial" w:cs="Arial"/>
          <w:b/>
          <w:sz w:val="24"/>
          <w:szCs w:val="24"/>
        </w:rPr>
        <w:t>822/2025, de 25 de junio</w:t>
      </w:r>
      <w:r w:rsidR="00AE0992" w:rsidRPr="00216E93">
        <w:rPr>
          <w:rFonts w:ascii="Arial" w:hAnsi="Arial" w:cs="Arial"/>
          <w:b/>
          <w:sz w:val="24"/>
          <w:szCs w:val="24"/>
        </w:rPr>
        <w:t>,</w:t>
      </w:r>
      <w:r w:rsidR="00DA7D3F" w:rsidRPr="00216E93">
        <w:rPr>
          <w:rFonts w:ascii="Arial" w:hAnsi="Arial" w:cs="Arial"/>
          <w:b/>
          <w:sz w:val="24"/>
          <w:szCs w:val="24"/>
        </w:rPr>
        <w:t xml:space="preserve"> Sala de lo </w:t>
      </w:r>
      <w:r w:rsidR="005534EC" w:rsidRPr="00216E93">
        <w:rPr>
          <w:rFonts w:ascii="Arial" w:hAnsi="Arial" w:cs="Arial"/>
          <w:b/>
          <w:sz w:val="24"/>
          <w:szCs w:val="24"/>
        </w:rPr>
        <w:t>Contencioso-</w:t>
      </w:r>
      <w:r w:rsidR="00DA7D3F" w:rsidRPr="00216E93">
        <w:rPr>
          <w:rFonts w:ascii="Arial" w:hAnsi="Arial" w:cs="Arial"/>
          <w:b/>
          <w:sz w:val="24"/>
          <w:szCs w:val="24"/>
        </w:rPr>
        <w:t>Administrativo, Sección 4</w:t>
      </w:r>
      <w:r w:rsidRPr="003C7BC8">
        <w:rPr>
          <w:rFonts w:ascii="Arial" w:hAnsi="Arial" w:cs="Arial"/>
          <w:sz w:val="24"/>
          <w:szCs w:val="24"/>
        </w:rPr>
        <w:t xml:space="preserve"> </w:t>
      </w:r>
      <w:r w:rsidR="00AE0992" w:rsidRPr="003C7BC8">
        <w:rPr>
          <w:rFonts w:ascii="Arial" w:hAnsi="Arial" w:cs="Arial"/>
          <w:sz w:val="24"/>
          <w:szCs w:val="24"/>
        </w:rPr>
        <w:t xml:space="preserve">(Roj: STS 2966/2025 - ECLI:ES:TS:2025:2966), </w:t>
      </w:r>
      <w:r w:rsidRPr="003C7BC8">
        <w:rPr>
          <w:rFonts w:ascii="Arial" w:hAnsi="Arial" w:cs="Arial"/>
          <w:sz w:val="24"/>
          <w:szCs w:val="24"/>
        </w:rPr>
        <w:t>que declara que los complementos retributivos percibidos de forma habitual (por formación, turnos, guardias o similares) forman parte del salario estructural y deben integrarse plenamente en las pagas extraordinarias.</w:t>
      </w:r>
      <w:r w:rsidR="00DA7D3F" w:rsidRPr="003C7BC8">
        <w:rPr>
          <w:rFonts w:ascii="Arial" w:hAnsi="Arial" w:cs="Arial"/>
          <w:sz w:val="24"/>
          <w:szCs w:val="24"/>
        </w:rPr>
        <w:t xml:space="preserve"> En el mismo sentido</w:t>
      </w:r>
      <w:r w:rsidR="005534EC" w:rsidRPr="003C7BC8">
        <w:rPr>
          <w:rFonts w:ascii="Arial" w:hAnsi="Arial" w:cs="Arial"/>
          <w:sz w:val="24"/>
          <w:szCs w:val="24"/>
        </w:rPr>
        <w:t xml:space="preserve"> y como sentencia de síntesis, la </w:t>
      </w:r>
      <w:r w:rsidR="005534EC" w:rsidRPr="00216E93">
        <w:rPr>
          <w:rFonts w:ascii="Arial" w:hAnsi="Arial" w:cs="Arial"/>
          <w:b/>
          <w:sz w:val="24"/>
          <w:szCs w:val="24"/>
        </w:rPr>
        <w:t xml:space="preserve">STS </w:t>
      </w:r>
      <w:r w:rsidR="00393802" w:rsidRPr="00216E93">
        <w:rPr>
          <w:rFonts w:ascii="Arial" w:hAnsi="Arial" w:cs="Arial"/>
          <w:b/>
          <w:sz w:val="24"/>
          <w:szCs w:val="24"/>
        </w:rPr>
        <w:t>Sentencia núm. 1197/2025, de 29/09/2025, también de la Sala de lo Contencioso-Administrativo, Sección 4</w:t>
      </w:r>
      <w:r w:rsidR="00DA7D3F" w:rsidRPr="00216E93">
        <w:rPr>
          <w:rFonts w:ascii="Arial" w:hAnsi="Arial" w:cs="Arial"/>
          <w:b/>
          <w:sz w:val="24"/>
          <w:szCs w:val="24"/>
        </w:rPr>
        <w:t xml:space="preserve"> </w:t>
      </w:r>
      <w:r w:rsidR="005534EC" w:rsidRPr="00216E93">
        <w:rPr>
          <w:rFonts w:ascii="Arial" w:hAnsi="Arial" w:cs="Arial"/>
          <w:b/>
          <w:sz w:val="24"/>
          <w:szCs w:val="24"/>
        </w:rPr>
        <w:t>(Roj: STS 4275/2025 - ECLI:ES:TS:2025:4275)</w:t>
      </w:r>
      <w:r w:rsidR="00393802" w:rsidRPr="00216E93">
        <w:rPr>
          <w:rFonts w:ascii="Arial" w:hAnsi="Arial" w:cs="Arial"/>
          <w:b/>
          <w:sz w:val="24"/>
          <w:szCs w:val="24"/>
        </w:rPr>
        <w:t>.</w:t>
      </w:r>
    </w:p>
    <w:p w:rsidR="00216E93" w:rsidRPr="00216E93" w:rsidRDefault="00216E93" w:rsidP="00216E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AE0992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6E93">
        <w:rPr>
          <w:rFonts w:ascii="Arial" w:hAnsi="Arial" w:cs="Arial"/>
          <w:b/>
          <w:sz w:val="24"/>
          <w:szCs w:val="24"/>
        </w:rPr>
        <w:t xml:space="preserve">STS </w:t>
      </w:r>
      <w:r w:rsidR="00AE0992" w:rsidRPr="00216E93">
        <w:rPr>
          <w:rFonts w:ascii="Arial" w:hAnsi="Arial" w:cs="Arial"/>
          <w:b/>
          <w:sz w:val="24"/>
          <w:szCs w:val="24"/>
        </w:rPr>
        <w:t>núm. 878/2025</w:t>
      </w:r>
      <w:r w:rsidRPr="00216E93">
        <w:rPr>
          <w:rFonts w:ascii="Arial" w:hAnsi="Arial" w:cs="Arial"/>
          <w:b/>
          <w:sz w:val="24"/>
          <w:szCs w:val="24"/>
        </w:rPr>
        <w:t>, de 2 de octubre,</w:t>
      </w:r>
      <w:r w:rsidR="00910B34" w:rsidRPr="00216E93">
        <w:rPr>
          <w:rFonts w:ascii="Arial" w:hAnsi="Arial" w:cs="Arial"/>
          <w:b/>
          <w:sz w:val="24"/>
          <w:szCs w:val="24"/>
        </w:rPr>
        <w:t xml:space="preserve"> Sala de lo Social, Sección </w:t>
      </w:r>
      <w:r w:rsidR="007372D1" w:rsidRPr="00216E93">
        <w:rPr>
          <w:rFonts w:ascii="Arial" w:hAnsi="Arial" w:cs="Arial"/>
          <w:b/>
          <w:sz w:val="24"/>
          <w:szCs w:val="24"/>
        </w:rPr>
        <w:t>1</w:t>
      </w:r>
      <w:r w:rsidR="007372D1" w:rsidRPr="003C7BC8">
        <w:rPr>
          <w:rFonts w:ascii="Arial" w:hAnsi="Arial" w:cs="Arial"/>
          <w:sz w:val="24"/>
          <w:szCs w:val="24"/>
        </w:rPr>
        <w:t xml:space="preserve"> (</w:t>
      </w:r>
      <w:r w:rsidR="00910B34" w:rsidRPr="003C7BC8">
        <w:rPr>
          <w:rFonts w:ascii="Arial" w:hAnsi="Arial" w:cs="Arial"/>
          <w:sz w:val="24"/>
          <w:szCs w:val="24"/>
        </w:rPr>
        <w:t xml:space="preserve">Roj: STS 4420/2025 - ECLI:ES:TS:2025:4420). </w:t>
      </w:r>
      <w:r w:rsidRPr="003C7BC8">
        <w:rPr>
          <w:rFonts w:ascii="Arial" w:hAnsi="Arial" w:cs="Arial"/>
          <w:sz w:val="24"/>
          <w:szCs w:val="24"/>
        </w:rPr>
        <w:t>que afirma con carácter vinculante que las leyes presupuestarias autonómicas o reglamentos no pueden empeorar ni limitar lo previsto en el artículo 22.4 EBEP, debiendo incluirse en las pagas extra todos los complementos fijos y periódicos.</w:t>
      </w:r>
      <w:r w:rsidR="00393802" w:rsidRPr="003C7BC8">
        <w:rPr>
          <w:rFonts w:ascii="Arial" w:hAnsi="Arial" w:cs="Arial"/>
          <w:sz w:val="24"/>
          <w:szCs w:val="24"/>
        </w:rPr>
        <w:t xml:space="preserve"> 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7372D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Ambas sentencias consolidan que la Administración no puede excluir sexenios, jefaturas ni complementos estructurales de las pagas extraordinarias, ni reducir el porcentaje de sueldo y trienios incluido en ellas.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7372D1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SEXTO</w:t>
      </w:r>
      <w:r w:rsidR="00D43B47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el complemento de formación permanente (sexenios) y los complementos vinculados a cargos de responsabilidad </w:t>
      </w:r>
      <w:r w:rsidR="00D43B47" w:rsidRPr="003C7BC8">
        <w:rPr>
          <w:rFonts w:ascii="Arial" w:hAnsi="Arial" w:cs="Arial"/>
          <w:sz w:val="24"/>
          <w:szCs w:val="24"/>
        </w:rPr>
        <w:t>s</w:t>
      </w:r>
      <w:r w:rsidRPr="003C7BC8">
        <w:rPr>
          <w:rFonts w:ascii="Arial" w:hAnsi="Arial" w:cs="Arial"/>
          <w:sz w:val="24"/>
          <w:szCs w:val="24"/>
        </w:rPr>
        <w:t>e perciben de forma regular, fija y periódica</w:t>
      </w:r>
      <w:r w:rsidR="00D43B47" w:rsidRPr="003C7BC8">
        <w:rPr>
          <w:rFonts w:ascii="Arial" w:hAnsi="Arial" w:cs="Arial"/>
          <w:sz w:val="24"/>
          <w:szCs w:val="24"/>
        </w:rPr>
        <w:t>, que</w:t>
      </w:r>
      <w:r w:rsidRPr="003C7BC8">
        <w:rPr>
          <w:rFonts w:ascii="Arial" w:hAnsi="Arial" w:cs="Arial"/>
          <w:sz w:val="24"/>
          <w:szCs w:val="24"/>
        </w:rPr>
        <w:t xml:space="preserve"> </w:t>
      </w:r>
      <w:r w:rsidR="00D43B47" w:rsidRPr="003C7BC8">
        <w:rPr>
          <w:rFonts w:ascii="Arial" w:hAnsi="Arial" w:cs="Arial"/>
          <w:sz w:val="24"/>
          <w:szCs w:val="24"/>
        </w:rPr>
        <w:t>n</w:t>
      </w:r>
      <w:r w:rsidRPr="003C7BC8">
        <w:rPr>
          <w:rFonts w:ascii="Arial" w:hAnsi="Arial" w:cs="Arial"/>
          <w:sz w:val="24"/>
          <w:szCs w:val="24"/>
        </w:rPr>
        <w:t>o dependen de productividad ni gratificaciones extraordinarias</w:t>
      </w:r>
      <w:r w:rsidR="00D43B47" w:rsidRPr="003C7BC8">
        <w:rPr>
          <w:rFonts w:ascii="Arial" w:hAnsi="Arial" w:cs="Arial"/>
          <w:sz w:val="24"/>
          <w:szCs w:val="24"/>
        </w:rPr>
        <w:t xml:space="preserve"> y que</w:t>
      </w:r>
      <w:r w:rsidRPr="003C7BC8">
        <w:rPr>
          <w:rFonts w:ascii="Arial" w:hAnsi="Arial" w:cs="Arial"/>
          <w:sz w:val="24"/>
          <w:szCs w:val="24"/>
        </w:rPr>
        <w:t xml:space="preserve"> </w:t>
      </w:r>
      <w:r w:rsidR="00D43B47" w:rsidRPr="003C7BC8">
        <w:rPr>
          <w:rFonts w:ascii="Arial" w:hAnsi="Arial" w:cs="Arial"/>
          <w:sz w:val="24"/>
          <w:szCs w:val="24"/>
        </w:rPr>
        <w:t>r</w:t>
      </w:r>
      <w:r w:rsidRPr="003C7BC8">
        <w:rPr>
          <w:rFonts w:ascii="Arial" w:hAnsi="Arial" w:cs="Arial"/>
          <w:sz w:val="24"/>
          <w:szCs w:val="24"/>
        </w:rPr>
        <w:t>etribuyen funciones estructurales y habituales.</w:t>
      </w:r>
      <w:r w:rsidR="00501268" w:rsidRPr="003C7BC8">
        <w:rPr>
          <w:rFonts w:ascii="Arial" w:hAnsi="Arial" w:cs="Arial"/>
          <w:sz w:val="24"/>
          <w:szCs w:val="24"/>
        </w:rPr>
        <w:t xml:space="preserve"> </w:t>
      </w:r>
      <w:r w:rsidRPr="003C7BC8">
        <w:rPr>
          <w:rFonts w:ascii="Arial" w:hAnsi="Arial" w:cs="Arial"/>
          <w:sz w:val="24"/>
          <w:szCs w:val="24"/>
        </w:rPr>
        <w:t>Por tanto, tienen necesariamente la consideración de retribuciones complementarias estructurales, cuya inclusión en las pagas extraordinarias exige el EBEP y la jurisprudencia.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SÉPTIMO</w:t>
      </w:r>
      <w:r w:rsidR="0050126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la práctica seguida por la Administración </w:t>
      </w:r>
      <w:r w:rsidR="00501268" w:rsidRPr="003C7BC8">
        <w:rPr>
          <w:rFonts w:ascii="Arial" w:hAnsi="Arial" w:cs="Arial"/>
          <w:sz w:val="24"/>
          <w:szCs w:val="24"/>
        </w:rPr>
        <w:t>c</w:t>
      </w:r>
      <w:r w:rsidRPr="003C7BC8">
        <w:rPr>
          <w:rFonts w:ascii="Arial" w:hAnsi="Arial" w:cs="Arial"/>
          <w:sz w:val="24"/>
          <w:szCs w:val="24"/>
        </w:rPr>
        <w:t>ontradice abiertamente el artículo 22.4 EBEP</w:t>
      </w:r>
      <w:r w:rsidR="00501268" w:rsidRPr="003C7BC8">
        <w:rPr>
          <w:rFonts w:ascii="Arial" w:hAnsi="Arial" w:cs="Arial"/>
          <w:sz w:val="24"/>
          <w:szCs w:val="24"/>
        </w:rPr>
        <w:t>, i</w:t>
      </w:r>
      <w:r w:rsidRPr="003C7BC8">
        <w:rPr>
          <w:rFonts w:ascii="Arial" w:hAnsi="Arial" w:cs="Arial"/>
          <w:sz w:val="24"/>
          <w:szCs w:val="24"/>
        </w:rPr>
        <w:t>nfringe el principio de jerarquía normativa imponiendo limitaciones establecidas en normas autonómicas inferiores</w:t>
      </w:r>
      <w:r w:rsidR="00501268" w:rsidRPr="003C7BC8">
        <w:rPr>
          <w:rFonts w:ascii="Arial" w:hAnsi="Arial" w:cs="Arial"/>
          <w:sz w:val="24"/>
          <w:szCs w:val="24"/>
        </w:rPr>
        <w:t>, p</w:t>
      </w:r>
      <w:r w:rsidRPr="003C7BC8">
        <w:rPr>
          <w:rFonts w:ascii="Arial" w:hAnsi="Arial" w:cs="Arial"/>
          <w:sz w:val="24"/>
          <w:szCs w:val="24"/>
        </w:rPr>
        <w:t>rovoca una reducción retributiva no amparada legalmente</w:t>
      </w:r>
      <w:r w:rsidR="00501268" w:rsidRPr="003C7BC8">
        <w:rPr>
          <w:rFonts w:ascii="Arial" w:hAnsi="Arial" w:cs="Arial"/>
          <w:sz w:val="24"/>
          <w:szCs w:val="24"/>
        </w:rPr>
        <w:t xml:space="preserve"> y s</w:t>
      </w:r>
      <w:r w:rsidRPr="003C7BC8">
        <w:rPr>
          <w:rFonts w:ascii="Arial" w:hAnsi="Arial" w:cs="Arial"/>
          <w:sz w:val="24"/>
          <w:szCs w:val="24"/>
        </w:rPr>
        <w:t>upone un trato desigual entre empleados públicos al no respetar la mensualidad completa de retribuciones exigida en las pagas extraordinarias.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4B7338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OCTAVO</w:t>
      </w:r>
      <w:r w:rsidR="0050126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conforme al artículo 25 de la Ley General Presupuestaria y al régimen supletorio aplicable, se reconoce el derecho del/de la solicitante a reclamar las cantidades indebidamente dejadas de percibir durante los últimos cuatro años desde la fecha de la presente reclamación, con los correspondientes intereses y regularización de cotizaciones.</w:t>
      </w:r>
    </w:p>
    <w:p w:rsidR="00B733E6" w:rsidRPr="003C7BC8" w:rsidRDefault="00B733E6" w:rsidP="004B7338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Por todo lo expuesto,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SOLICITA</w:t>
      </w:r>
      <w:r w:rsidR="00501268" w:rsidRPr="003C7BC8">
        <w:rPr>
          <w:rFonts w:ascii="Arial" w:hAnsi="Arial" w:cs="Arial"/>
          <w:b/>
          <w:sz w:val="24"/>
          <w:szCs w:val="24"/>
        </w:rPr>
        <w:t>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PRIMERO</w:t>
      </w:r>
      <w:r w:rsidR="00DA7D3F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se reconozca el derecho del/de la compareciente a percibir las pagas extraordinarias de junio y diciembre por el importe íntegro de una mensualidad, incluyendo: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50126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100 % del sueldo base,</w:t>
      </w:r>
    </w:p>
    <w:p w:rsidR="00B733E6" w:rsidRPr="003C7BC8" w:rsidRDefault="00B733E6" w:rsidP="00501268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El 100 % de los trienios,</w:t>
      </w:r>
    </w:p>
    <w:p w:rsidR="00DA7D3F" w:rsidRPr="003C7BC8" w:rsidRDefault="00B733E6" w:rsidP="00B733E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La totalidad de los complementos retributivos fijos y periódicos</w:t>
      </w:r>
      <w:r w:rsidR="00501268" w:rsidRPr="003C7BC8">
        <w:rPr>
          <w:rFonts w:ascii="Arial" w:hAnsi="Arial" w:cs="Arial"/>
          <w:sz w:val="24"/>
          <w:szCs w:val="24"/>
        </w:rPr>
        <w:t xml:space="preserve">, en particular el </w:t>
      </w:r>
      <w:r w:rsidRPr="003C7BC8">
        <w:rPr>
          <w:rFonts w:ascii="Arial" w:hAnsi="Arial" w:cs="Arial"/>
          <w:sz w:val="24"/>
          <w:szCs w:val="24"/>
        </w:rPr>
        <w:t>complemento de formación permanente (sexenios),</w:t>
      </w:r>
      <w:r w:rsidR="00501268" w:rsidRPr="003C7BC8">
        <w:rPr>
          <w:rFonts w:ascii="Arial" w:hAnsi="Arial" w:cs="Arial"/>
          <w:sz w:val="24"/>
          <w:szCs w:val="24"/>
        </w:rPr>
        <w:t xml:space="preserve"> y los </w:t>
      </w:r>
      <w:r w:rsidRPr="003C7BC8">
        <w:rPr>
          <w:rFonts w:ascii="Arial" w:hAnsi="Arial" w:cs="Arial"/>
          <w:sz w:val="24"/>
          <w:szCs w:val="24"/>
        </w:rPr>
        <w:t>complementos por jefaturas, cargos directivos, coordinación u otros análogos</w:t>
      </w:r>
      <w:r w:rsidR="00501268" w:rsidRPr="003C7BC8">
        <w:rPr>
          <w:rFonts w:ascii="Arial" w:hAnsi="Arial" w:cs="Arial"/>
          <w:sz w:val="24"/>
          <w:szCs w:val="24"/>
        </w:rPr>
        <w:t xml:space="preserve"> (añadirlos, si proceden),</w:t>
      </w:r>
    </w:p>
    <w:p w:rsidR="00DA7D3F" w:rsidRPr="003C7BC8" w:rsidRDefault="00501268" w:rsidP="00DA7D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 xml:space="preserve"> </w:t>
      </w:r>
    </w:p>
    <w:p w:rsidR="00B733E6" w:rsidRPr="003C7BC8" w:rsidRDefault="00DA7D3F" w:rsidP="00DA7D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C</w:t>
      </w:r>
      <w:r w:rsidR="00B733E6" w:rsidRPr="003C7BC8">
        <w:rPr>
          <w:rFonts w:ascii="Arial" w:hAnsi="Arial" w:cs="Arial"/>
          <w:sz w:val="24"/>
          <w:szCs w:val="24"/>
        </w:rPr>
        <w:t>on</w:t>
      </w:r>
      <w:r w:rsidRPr="003C7BC8">
        <w:rPr>
          <w:rFonts w:ascii="Arial" w:hAnsi="Arial" w:cs="Arial"/>
          <w:sz w:val="24"/>
          <w:szCs w:val="24"/>
        </w:rPr>
        <w:t xml:space="preserve"> </w:t>
      </w:r>
      <w:r w:rsidR="00B733E6" w:rsidRPr="003C7BC8">
        <w:rPr>
          <w:rFonts w:ascii="Arial" w:hAnsi="Arial" w:cs="Arial"/>
          <w:sz w:val="24"/>
          <w:szCs w:val="24"/>
        </w:rPr>
        <w:t>la única exclusión de los conceptos de productividad y gratificaciones por servicios extraordinarios del art. 24.c) y d) EBEP.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SEGUNDO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se proceda a: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DA7D3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Recalcular todas las pagas extraordinarias devengadas en los últimos cuatro años, conforme al artículo 22.4 EBEP</w:t>
      </w:r>
      <w:r w:rsidR="004B7338">
        <w:rPr>
          <w:rFonts w:ascii="Arial" w:hAnsi="Arial" w:cs="Arial"/>
          <w:sz w:val="24"/>
          <w:szCs w:val="24"/>
        </w:rPr>
        <w:t xml:space="preserve">, </w:t>
      </w:r>
      <w:r w:rsidR="00AB77A1">
        <w:rPr>
          <w:rFonts w:ascii="Arial" w:hAnsi="Arial" w:cs="Arial"/>
          <w:sz w:val="24"/>
          <w:szCs w:val="24"/>
        </w:rPr>
        <w:t>artículo</w:t>
      </w:r>
      <w:r w:rsidR="004B7338">
        <w:rPr>
          <w:rFonts w:ascii="Arial" w:hAnsi="Arial" w:cs="Arial"/>
          <w:sz w:val="24"/>
          <w:szCs w:val="24"/>
        </w:rPr>
        <w:t xml:space="preserve"> 88 de la de </w:t>
      </w:r>
      <w:r w:rsidR="004B7338" w:rsidRPr="00C05CC9">
        <w:rPr>
          <w:rFonts w:ascii="Arial" w:hAnsi="Arial" w:cs="Arial"/>
          <w:sz w:val="24"/>
          <w:szCs w:val="24"/>
        </w:rPr>
        <w:t>la Ley 4/2021, de 16 de abril, de la Función Pública Valenciana</w:t>
      </w:r>
      <w:r w:rsidR="004B7338">
        <w:rPr>
          <w:rFonts w:ascii="Arial" w:hAnsi="Arial" w:cs="Arial"/>
          <w:sz w:val="24"/>
          <w:szCs w:val="24"/>
        </w:rPr>
        <w:t xml:space="preserve">, y </w:t>
      </w:r>
      <w:r w:rsidRPr="003C7BC8">
        <w:rPr>
          <w:rFonts w:ascii="Arial" w:hAnsi="Arial" w:cs="Arial"/>
          <w:sz w:val="24"/>
          <w:szCs w:val="24"/>
        </w:rPr>
        <w:t>la doctrina del Tribunal Supremo mencionada.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DA7D3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Abonar las diferencias retributivas resultantes, con los intereses legales que procedan.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DA7D3F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Regularizar las cotizaciones correspondientes frente a la Seguridad Social.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b/>
          <w:sz w:val="24"/>
          <w:szCs w:val="24"/>
        </w:rPr>
        <w:t>TERCERO</w:t>
      </w:r>
      <w:r w:rsidR="007017E8" w:rsidRPr="003C7BC8">
        <w:rPr>
          <w:rFonts w:ascii="Arial" w:hAnsi="Arial" w:cs="Arial"/>
          <w:b/>
          <w:sz w:val="24"/>
          <w:szCs w:val="24"/>
        </w:rPr>
        <w:t>. –</w:t>
      </w:r>
      <w:r w:rsidRPr="003C7BC8">
        <w:rPr>
          <w:rFonts w:ascii="Arial" w:hAnsi="Arial" w:cs="Arial"/>
          <w:sz w:val="24"/>
          <w:szCs w:val="24"/>
        </w:rPr>
        <w:t xml:space="preserve"> Que se dicte resolución expresa y motivada, con indicación de los recursos administrativos o jurisdiccionales procedentes.</w:t>
      </w:r>
    </w:p>
    <w:p w:rsidR="00B733E6" w:rsidRPr="003C7BC8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3E6" w:rsidRDefault="00B733E6" w:rsidP="007017E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En ___________________, a ____ de ____________________ de 2025</w:t>
      </w:r>
    </w:p>
    <w:p w:rsidR="00970BC6" w:rsidRDefault="00970BC6" w:rsidP="007017E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70BC6" w:rsidRDefault="00970BC6" w:rsidP="007017E8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0BC6" w:rsidRPr="003C7BC8" w:rsidRDefault="00970BC6" w:rsidP="007017E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733E6" w:rsidRPr="003C7BC8" w:rsidRDefault="00B733E6" w:rsidP="007017E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733E6" w:rsidRPr="003C7BC8" w:rsidRDefault="00B733E6" w:rsidP="00297FDE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3C7BC8">
        <w:rPr>
          <w:rFonts w:ascii="Arial" w:hAnsi="Arial" w:cs="Arial"/>
          <w:sz w:val="24"/>
          <w:szCs w:val="24"/>
        </w:rPr>
        <w:t>Fdo.: ______________________________________</w:t>
      </w:r>
    </w:p>
    <w:p w:rsidR="00B733E6" w:rsidRDefault="00B733E6" w:rsidP="00B733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0BC6" w:rsidRPr="00970BC6" w:rsidRDefault="00970BC6" w:rsidP="00970BC6">
      <w:pPr>
        <w:spacing w:after="0"/>
        <w:jc w:val="center"/>
        <w:rPr>
          <w:rFonts w:ascii="Arial" w:hAnsi="Arial" w:cs="Arial"/>
          <w:b/>
          <w:sz w:val="36"/>
          <w:szCs w:val="24"/>
        </w:rPr>
      </w:pPr>
      <w:r w:rsidRPr="00970BC6">
        <w:rPr>
          <w:rFonts w:ascii="Arial" w:hAnsi="Arial" w:cs="Arial"/>
          <w:b/>
          <w:sz w:val="36"/>
          <w:szCs w:val="24"/>
        </w:rPr>
        <w:t xml:space="preserve">Sr/Sra: director/a Territorial de Educación </w:t>
      </w:r>
      <w:r>
        <w:rPr>
          <w:rFonts w:ascii="Arial" w:hAnsi="Arial" w:cs="Arial"/>
          <w:b/>
          <w:sz w:val="36"/>
          <w:szCs w:val="24"/>
        </w:rPr>
        <w:t>de_________</w:t>
      </w:r>
    </w:p>
    <w:p w:rsidR="00B733E6" w:rsidRPr="00970BC6" w:rsidRDefault="00970BC6" w:rsidP="00970BC6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70BC6">
        <w:rPr>
          <w:rFonts w:ascii="Arial" w:hAnsi="Arial" w:cs="Arial"/>
          <w:b/>
          <w:sz w:val="32"/>
          <w:szCs w:val="24"/>
        </w:rPr>
        <w:t>C</w:t>
      </w:r>
      <w:r w:rsidR="00B733E6" w:rsidRPr="00970BC6">
        <w:rPr>
          <w:rFonts w:ascii="Arial" w:hAnsi="Arial" w:cs="Arial"/>
          <w:b/>
          <w:sz w:val="32"/>
          <w:szCs w:val="24"/>
        </w:rPr>
        <w:t>ONSELLERIA DE EDUCACIÓN, UNIVERSIDADES Y EMPLEO</w:t>
      </w:r>
    </w:p>
    <w:p w:rsidR="00970BC6" w:rsidRDefault="00B733E6" w:rsidP="00970BC6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70BC6">
        <w:rPr>
          <w:rFonts w:ascii="Arial" w:hAnsi="Arial" w:cs="Arial"/>
          <w:b/>
          <w:sz w:val="32"/>
          <w:szCs w:val="24"/>
        </w:rPr>
        <w:t>GENERALITAT VALENCIANA</w:t>
      </w:r>
    </w:p>
    <w:sectPr w:rsidR="00970BC6" w:rsidSect="00B733E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DF" w:rsidRDefault="00A960DF" w:rsidP="00970BC6">
      <w:pPr>
        <w:spacing w:after="0" w:line="240" w:lineRule="auto"/>
      </w:pPr>
      <w:r>
        <w:separator/>
      </w:r>
    </w:p>
  </w:endnote>
  <w:endnote w:type="continuationSeparator" w:id="0">
    <w:p w:rsidR="00A960DF" w:rsidRDefault="00A960DF" w:rsidP="0097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16558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:rsidR="00970BC6" w:rsidRPr="00970BC6" w:rsidRDefault="00970BC6" w:rsidP="00970BC6">
        <w:pPr>
          <w:pStyle w:val="Piedepgina"/>
          <w:pBdr>
            <w:top w:val="single" w:sz="4" w:space="1" w:color="auto"/>
          </w:pBdr>
          <w:jc w:val="right"/>
          <w:rPr>
            <w:rFonts w:ascii="Arial" w:hAnsi="Arial" w:cs="Arial"/>
            <w:b/>
          </w:rPr>
        </w:pPr>
        <w:r w:rsidRPr="00970BC6">
          <w:rPr>
            <w:rFonts w:ascii="Arial" w:hAnsi="Arial" w:cs="Arial"/>
            <w:b/>
          </w:rPr>
          <w:fldChar w:fldCharType="begin"/>
        </w:r>
        <w:r w:rsidRPr="00970BC6">
          <w:rPr>
            <w:rFonts w:ascii="Arial" w:hAnsi="Arial" w:cs="Arial"/>
            <w:b/>
          </w:rPr>
          <w:instrText>PAGE   \* MERGEFORMAT</w:instrText>
        </w:r>
        <w:r w:rsidRPr="00970BC6">
          <w:rPr>
            <w:rFonts w:ascii="Arial" w:hAnsi="Arial" w:cs="Arial"/>
            <w:b/>
          </w:rPr>
          <w:fldChar w:fldCharType="separate"/>
        </w:r>
        <w:r w:rsidR="00A960DF">
          <w:rPr>
            <w:rFonts w:ascii="Arial" w:hAnsi="Arial" w:cs="Arial"/>
            <w:b/>
            <w:noProof/>
          </w:rPr>
          <w:t>1</w:t>
        </w:r>
        <w:r w:rsidRPr="00970BC6">
          <w:rPr>
            <w:rFonts w:ascii="Arial" w:hAnsi="Arial" w:cs="Arial"/>
            <w:b/>
          </w:rPr>
          <w:fldChar w:fldCharType="end"/>
        </w:r>
      </w:p>
    </w:sdtContent>
  </w:sdt>
  <w:p w:rsidR="00970BC6" w:rsidRDefault="00970B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DF" w:rsidRDefault="00A960DF" w:rsidP="00970BC6">
      <w:pPr>
        <w:spacing w:after="0" w:line="240" w:lineRule="auto"/>
      </w:pPr>
      <w:r>
        <w:separator/>
      </w:r>
    </w:p>
  </w:footnote>
  <w:footnote w:type="continuationSeparator" w:id="0">
    <w:p w:rsidR="00A960DF" w:rsidRDefault="00A960DF" w:rsidP="0097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7BAF"/>
    <w:multiLevelType w:val="hybridMultilevel"/>
    <w:tmpl w:val="2764A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43C7E"/>
    <w:multiLevelType w:val="hybridMultilevel"/>
    <w:tmpl w:val="E4C01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3E5"/>
    <w:multiLevelType w:val="hybridMultilevel"/>
    <w:tmpl w:val="CBE22734"/>
    <w:lvl w:ilvl="0" w:tplc="6EFE92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23D9E"/>
    <w:multiLevelType w:val="hybridMultilevel"/>
    <w:tmpl w:val="7E2003C0"/>
    <w:lvl w:ilvl="0" w:tplc="6EFE92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278B"/>
    <w:multiLevelType w:val="hybridMultilevel"/>
    <w:tmpl w:val="87D80B7E"/>
    <w:lvl w:ilvl="0" w:tplc="6EFE92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358"/>
    <w:multiLevelType w:val="hybridMultilevel"/>
    <w:tmpl w:val="934C5F80"/>
    <w:lvl w:ilvl="0" w:tplc="6EFE92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07C7"/>
    <w:multiLevelType w:val="hybridMultilevel"/>
    <w:tmpl w:val="297CF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914B3"/>
    <w:multiLevelType w:val="hybridMultilevel"/>
    <w:tmpl w:val="9348DF60"/>
    <w:lvl w:ilvl="0" w:tplc="6EFE9214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E6"/>
    <w:rsid w:val="00216E93"/>
    <w:rsid w:val="00297FDE"/>
    <w:rsid w:val="00393802"/>
    <w:rsid w:val="003C7BC8"/>
    <w:rsid w:val="00461379"/>
    <w:rsid w:val="004B7338"/>
    <w:rsid w:val="00501268"/>
    <w:rsid w:val="005534EC"/>
    <w:rsid w:val="00605EF0"/>
    <w:rsid w:val="007017E8"/>
    <w:rsid w:val="007372D1"/>
    <w:rsid w:val="00910B34"/>
    <w:rsid w:val="00970BC6"/>
    <w:rsid w:val="00A960DF"/>
    <w:rsid w:val="00AB77A1"/>
    <w:rsid w:val="00AC1C27"/>
    <w:rsid w:val="00AE0992"/>
    <w:rsid w:val="00AE16E3"/>
    <w:rsid w:val="00AF3607"/>
    <w:rsid w:val="00B22DA3"/>
    <w:rsid w:val="00B64AD1"/>
    <w:rsid w:val="00B733E6"/>
    <w:rsid w:val="00BF612A"/>
    <w:rsid w:val="00C05CC9"/>
    <w:rsid w:val="00D43B47"/>
    <w:rsid w:val="00D72E3F"/>
    <w:rsid w:val="00DA7D3F"/>
    <w:rsid w:val="00F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5797-090F-460A-B418-2A5CC40D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7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0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BC6"/>
  </w:style>
  <w:style w:type="paragraph" w:styleId="Piedepgina">
    <w:name w:val="footer"/>
    <w:basedOn w:val="Normal"/>
    <w:link w:val="PiedepginaCar"/>
    <w:uiPriority w:val="99"/>
    <w:unhideWhenUsed/>
    <w:rsid w:val="00970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3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6</cp:revision>
  <dcterms:created xsi:type="dcterms:W3CDTF">2025-11-22T11:27:00Z</dcterms:created>
  <dcterms:modified xsi:type="dcterms:W3CDTF">2025-11-22T22:39:00Z</dcterms:modified>
</cp:coreProperties>
</file>