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E0C4" w14:textId="77777777" w:rsidR="00105033" w:rsidRPr="00105033" w:rsidRDefault="00105033" w:rsidP="00105033">
      <w:pPr>
        <w:spacing w:line="360" w:lineRule="auto"/>
      </w:pPr>
      <w:r w:rsidRPr="00105033">
        <w:t>D./Sra. ____________________________________, amb DNI núm. ________________, amb domicili a l'efecte de notificacions en ____________________________________, correu electrònic ___________________________ i telèfon __________________________, compareix i</w:t>
      </w:r>
      <w:r w:rsidRPr="00105033">
        <w:br/>
      </w:r>
      <w:r w:rsidRPr="00105033">
        <w:br/>
      </w:r>
      <w:r w:rsidRPr="00105033">
        <w:rPr>
          <w:b/>
          <w:bCs/>
        </w:rPr>
        <w:t>EXPOSA:</w:t>
      </w:r>
      <w:r w:rsidRPr="00105033">
        <w:rPr>
          <w:b/>
          <w:bCs/>
        </w:rPr>
        <w:br/>
        <w:t>PRIMER.</w:t>
      </w:r>
      <w:r w:rsidRPr="00105033">
        <w:t xml:space="preserve"> – Que és funcionari/a docent (de carrera / interí/a) al servei de la Generalitat Valenciana des de __________________, actualment destinat/a en el centre __________________________________.</w:t>
      </w:r>
      <w:r w:rsidRPr="00105033">
        <w:br/>
      </w:r>
      <w:r w:rsidRPr="00105033">
        <w:br/>
      </w:r>
      <w:r w:rsidRPr="00105033">
        <w:rPr>
          <w:b/>
          <w:bCs/>
        </w:rPr>
        <w:t>SEGON. –</w:t>
      </w:r>
      <w:r w:rsidRPr="00105033">
        <w:t xml:space="preserve"> Que en les seues retribucions ordinàries mensuals percep, entre altres, els següents conceptes retributius:</w:t>
      </w:r>
    </w:p>
    <w:p w14:paraId="1D132EAF" w14:textId="77777777" w:rsidR="00105033" w:rsidRPr="00105033" w:rsidRDefault="00105033" w:rsidP="00105033">
      <w:pPr>
        <w:pStyle w:val="Pargrafdellista"/>
        <w:numPr>
          <w:ilvl w:val="0"/>
          <w:numId w:val="10"/>
        </w:numPr>
        <w:spacing w:line="360" w:lineRule="auto"/>
      </w:pPr>
      <w:r w:rsidRPr="00105033">
        <w:t>Sou base del subgrup A1/A2.</w:t>
      </w:r>
    </w:p>
    <w:p w14:paraId="423D15BC" w14:textId="77777777" w:rsidR="00105033" w:rsidRPr="00105033" w:rsidRDefault="00105033" w:rsidP="00105033">
      <w:pPr>
        <w:pStyle w:val="Pargrafdellista"/>
        <w:numPr>
          <w:ilvl w:val="0"/>
          <w:numId w:val="10"/>
        </w:numPr>
        <w:spacing w:line="360" w:lineRule="auto"/>
      </w:pPr>
      <w:r w:rsidRPr="00105033">
        <w:t>Triennis per antiguitat.</w:t>
      </w:r>
    </w:p>
    <w:p w14:paraId="0624B5E2" w14:textId="77777777" w:rsidR="00105033" w:rsidRPr="00105033" w:rsidRDefault="00105033" w:rsidP="00105033">
      <w:pPr>
        <w:pStyle w:val="Pargrafdellista"/>
        <w:numPr>
          <w:ilvl w:val="0"/>
          <w:numId w:val="10"/>
        </w:numPr>
        <w:spacing w:line="360" w:lineRule="auto"/>
      </w:pPr>
      <w:r w:rsidRPr="00105033">
        <w:t>Complement de destí.</w:t>
      </w:r>
    </w:p>
    <w:p w14:paraId="721F0CB0" w14:textId="77777777" w:rsidR="00105033" w:rsidRPr="00105033" w:rsidRDefault="00105033" w:rsidP="00105033">
      <w:pPr>
        <w:pStyle w:val="Pargrafdellista"/>
        <w:numPr>
          <w:ilvl w:val="0"/>
          <w:numId w:val="10"/>
        </w:numPr>
        <w:spacing w:line="360" w:lineRule="auto"/>
      </w:pPr>
      <w:r w:rsidRPr="00105033">
        <w:t>Complement específic.</w:t>
      </w:r>
    </w:p>
    <w:p w14:paraId="38AE7CA6" w14:textId="00A79261" w:rsidR="00105033" w:rsidRPr="00105033" w:rsidRDefault="00105033" w:rsidP="00105033">
      <w:pPr>
        <w:pStyle w:val="Pargrafdellista"/>
        <w:numPr>
          <w:ilvl w:val="0"/>
          <w:numId w:val="10"/>
        </w:numPr>
        <w:spacing w:line="360" w:lineRule="auto"/>
      </w:pPr>
      <w:r w:rsidRPr="00105033">
        <w:t>Complement de formació permanent (sexennis).</w:t>
      </w:r>
    </w:p>
    <w:p w14:paraId="2FDCB572" w14:textId="37A744EB" w:rsidR="00105033" w:rsidRPr="00105033" w:rsidRDefault="00105033" w:rsidP="00105033">
      <w:pPr>
        <w:spacing w:line="360" w:lineRule="auto"/>
        <w:rPr>
          <w:i/>
          <w:iCs/>
        </w:rPr>
      </w:pPr>
      <w:r w:rsidRPr="00105033">
        <w:rPr>
          <w:i/>
          <w:iCs/>
        </w:rPr>
        <w:t>(Afegir, si és el cas, altres complements fixos i periòdics vinculats al lloc exercit, com ara direcció de departament, coordinació, càrrecs directius o altres anàlegs).</w:t>
      </w:r>
    </w:p>
    <w:p w14:paraId="6F863F88" w14:textId="0C4028F7" w:rsidR="00105033" w:rsidRPr="00105033" w:rsidRDefault="00105033" w:rsidP="00105033">
      <w:pPr>
        <w:spacing w:line="360" w:lineRule="auto"/>
      </w:pPr>
      <w:r w:rsidRPr="00105033">
        <w:rPr>
          <w:b/>
          <w:bCs/>
        </w:rPr>
        <w:t>TERCER. –</w:t>
      </w:r>
      <w:r w:rsidRPr="00105033">
        <w:t xml:space="preserve"> Que, no obstant això, en les pagues extraordinàries de juny i desembre l'Administració ve abonant únicament:</w:t>
      </w:r>
    </w:p>
    <w:p w14:paraId="1D791C5C" w14:textId="77777777" w:rsidR="00105033" w:rsidRPr="00105033" w:rsidRDefault="00105033" w:rsidP="00105033">
      <w:pPr>
        <w:pStyle w:val="Pargrafdellista"/>
        <w:numPr>
          <w:ilvl w:val="0"/>
          <w:numId w:val="9"/>
        </w:numPr>
        <w:spacing w:line="360" w:lineRule="auto"/>
      </w:pPr>
      <w:r w:rsidRPr="00105033">
        <w:t>El 70% del sou base,</w:t>
      </w:r>
    </w:p>
    <w:p w14:paraId="1550DF10" w14:textId="77777777" w:rsidR="00105033" w:rsidRPr="00105033" w:rsidRDefault="00105033" w:rsidP="00105033">
      <w:pPr>
        <w:pStyle w:val="Pargrafdellista"/>
        <w:numPr>
          <w:ilvl w:val="0"/>
          <w:numId w:val="9"/>
        </w:numPr>
        <w:spacing w:line="360" w:lineRule="auto"/>
      </w:pPr>
      <w:r w:rsidRPr="00105033">
        <w:t>El 70% dels triennis,</w:t>
      </w:r>
    </w:p>
    <w:p w14:paraId="68D05150" w14:textId="29F8DFA9" w:rsidR="00105033" w:rsidRPr="00105033" w:rsidRDefault="00105033" w:rsidP="00105033">
      <w:pPr>
        <w:pStyle w:val="Pargrafdellista"/>
        <w:numPr>
          <w:ilvl w:val="0"/>
          <w:numId w:val="9"/>
        </w:numPr>
        <w:spacing w:line="360" w:lineRule="auto"/>
      </w:pPr>
      <w:r w:rsidRPr="00105033">
        <w:t>El 100% del complement de destí,</w:t>
      </w:r>
    </w:p>
    <w:p w14:paraId="7F4FC9E2" w14:textId="24007313" w:rsidR="00105033" w:rsidRPr="00105033" w:rsidRDefault="00105033" w:rsidP="00105033">
      <w:pPr>
        <w:pStyle w:val="Pargrafdellista"/>
        <w:numPr>
          <w:ilvl w:val="0"/>
          <w:numId w:val="9"/>
        </w:numPr>
        <w:spacing w:line="360" w:lineRule="auto"/>
      </w:pPr>
      <w:r w:rsidRPr="00105033">
        <w:t>El 100% del complement específic,</w:t>
      </w:r>
    </w:p>
    <w:p w14:paraId="70DB5284" w14:textId="7FB02821" w:rsidR="00105033" w:rsidRDefault="00105033" w:rsidP="00105033">
      <w:pPr>
        <w:spacing w:line="360" w:lineRule="auto"/>
        <w:rPr>
          <w:b/>
          <w:bCs/>
        </w:rPr>
      </w:pPr>
      <w:r w:rsidRPr="00105033">
        <w:t>Excloent de manera sistemàtica el complement de formació permanent (sexennis) i altres complements retributius fixos i regulars com a direccions de departament, càrrecs directius o altres complements estructurals percebuts habitualment mes a mes.</w:t>
      </w:r>
      <w:r w:rsidRPr="00105033">
        <w:br/>
      </w:r>
      <w:r w:rsidRPr="00105033">
        <w:br/>
      </w:r>
      <w:r w:rsidRPr="00105033">
        <w:rPr>
          <w:b/>
          <w:bCs/>
        </w:rPr>
        <w:t>QUART. –</w:t>
      </w:r>
      <w:r w:rsidRPr="00105033">
        <w:t xml:space="preserve"> Que aquesta pràctica vulnera el que es disposa en l'article 22.4 de l'Estatut Bàsic de l'Empleat públic (Reial decret legislatiu 5/2015), que estableix que: “Les pagues extraordinàries seran dues a l'any, cadascuna per l'import d'una mensualitat de retribucions bàsiques i de la totalitat de les retribucions complementàries, excepte aquelles a les quals es refereixen els apartats c) i d) de l'article 24” (productivitat i serveis extraordinaris).</w:t>
      </w:r>
      <w:r w:rsidRPr="00105033">
        <w:br/>
      </w:r>
      <w:r w:rsidRPr="00105033">
        <w:br/>
      </w:r>
      <w:r w:rsidRPr="00105033">
        <w:lastRenderedPageBreak/>
        <w:t xml:space="preserve">Aquest precepte, de caràcter bàsic i prevalent en tot l'Estat conforme a l'art. 149.1.18a CE, imposa que cada paga extraordinària </w:t>
      </w:r>
      <w:proofErr w:type="spellStart"/>
      <w:r w:rsidRPr="00105033">
        <w:t>incloga</w:t>
      </w:r>
      <w:proofErr w:type="spellEnd"/>
      <w:r w:rsidRPr="00105033">
        <w:t xml:space="preserve"> el 100% de les retribucions bàsiques (sou i triennis) i la totalitat de les retribucions complementàries, excepte productivitat i gratificacions per serveis extraordinaris.</w:t>
      </w:r>
      <w:r w:rsidRPr="00105033">
        <w:br/>
        <w:t xml:space="preserve">Aquesta norma bàsica es complementa a la Comunitat Valenciana, amb el que estableixen els articles 85.2 i 88 de la </w:t>
      </w:r>
      <w:proofErr w:type="spellStart"/>
      <w:r w:rsidRPr="00105033">
        <w:t>la</w:t>
      </w:r>
      <w:proofErr w:type="spellEnd"/>
      <w:r w:rsidRPr="00105033">
        <w:t xml:space="preserve"> Llei 4/2021, de 16 d'abril, de la Funció Pública Valenciana, que estableixen que el personal funcionari, així mateix, percebrà les pagues extraordinàries en els termes </w:t>
      </w:r>
      <w:proofErr w:type="spellStart"/>
      <w:r w:rsidRPr="00105033">
        <w:t>establits</w:t>
      </w:r>
      <w:proofErr w:type="spellEnd"/>
      <w:r w:rsidRPr="00105033">
        <w:t xml:space="preserve"> en l'article 88, que diu que: “Les pagues extraordinàries seran dues a l'any, cadascuna per l'import d'una mensualitat de les retribucions bàsiques i de les complementàries vinculades a la carrera administrativa i al lloc de treball”.</w:t>
      </w:r>
      <w:r w:rsidRPr="00105033">
        <w:br/>
      </w:r>
      <w:r w:rsidRPr="00105033">
        <w:br/>
      </w:r>
      <w:r w:rsidRPr="00105033">
        <w:rPr>
          <w:b/>
          <w:bCs/>
        </w:rPr>
        <w:t>CINQUÉ. –</w:t>
      </w:r>
      <w:r w:rsidRPr="00105033">
        <w:t xml:space="preserve"> Que la doctrina del Tribunal Suprem ha consolidat de manera definitiva aquest criteri. Entre altres, destaquen:</w:t>
      </w:r>
      <w:r w:rsidRPr="00105033">
        <w:br/>
        <w:t>• </w:t>
      </w:r>
      <w:r w:rsidRPr="00105033">
        <w:rPr>
          <w:b/>
          <w:bCs/>
        </w:rPr>
        <w:t xml:space="preserve">STS núm. 822/2025, de 25 de juny, Sala contenciosa administrativa, Secció 4 </w:t>
      </w:r>
      <w:r w:rsidRPr="00105033">
        <w:t>(</w:t>
      </w:r>
      <w:proofErr w:type="spellStart"/>
      <w:r w:rsidRPr="00105033">
        <w:t>Roj</w:t>
      </w:r>
      <w:proofErr w:type="spellEnd"/>
      <w:r w:rsidRPr="00105033">
        <w:t>: STS 2966/2025 - ECLI:</w:t>
      </w:r>
      <w:r w:rsidRPr="00105033">
        <w:t xml:space="preserve"> </w:t>
      </w:r>
      <w:r w:rsidRPr="00105033">
        <w:t>ÉS:</w:t>
      </w:r>
      <w:r w:rsidRPr="00105033">
        <w:t xml:space="preserve"> </w:t>
      </w:r>
      <w:r w:rsidRPr="00105033">
        <w:t>TS:</w:t>
      </w:r>
      <w:r w:rsidRPr="00105033">
        <w:t xml:space="preserve"> </w:t>
      </w:r>
      <w:r w:rsidRPr="00105033">
        <w:t>2025:2966), que declara que els complements retributius percebuts de manera habitual (per formació, torns, guàrdies o similars) formen part del salari estructural i han d'integrar-se plenament en les pagues extraordinàries. En el mateix sentit i com a sentència de síntesi, la STS Sentència núm. 1197/2025, de 29/09/2025, també de la Sala contenciosa administrativa, Secció 4 (</w:t>
      </w:r>
      <w:proofErr w:type="spellStart"/>
      <w:r w:rsidRPr="00105033">
        <w:t>Roj</w:t>
      </w:r>
      <w:proofErr w:type="spellEnd"/>
      <w:r w:rsidRPr="00105033">
        <w:t>: STS 4275/2025 - ECLI:ÉS:TS:2025:4275).</w:t>
      </w:r>
      <w:r w:rsidRPr="00105033">
        <w:br/>
        <w:t>• </w:t>
      </w:r>
      <w:r w:rsidRPr="00105033">
        <w:rPr>
          <w:b/>
          <w:bCs/>
        </w:rPr>
        <w:t>STS núm. 878/2025, de 2 d'octubre, Sala social, Secció 1 (</w:t>
      </w:r>
      <w:proofErr w:type="spellStart"/>
      <w:r w:rsidRPr="00105033">
        <w:t>Roj</w:t>
      </w:r>
      <w:proofErr w:type="spellEnd"/>
      <w:r w:rsidRPr="00105033">
        <w:t>: STS 4420/2025 - ECLI:ÉS:TS:2025:4420). que afirma amb caràcter vinculant que les lleis pressupostàries autonòmiques o reglaments no poden empitjorar ni limitar el que es preveu en l'article 22.4 EBEP, havent d'incloure's en les pagues extra tots els complements fixos i periòdics.</w:t>
      </w:r>
      <w:r w:rsidRPr="00105033">
        <w:br/>
        <w:t>Totes dues sentències consoliden que l'Administració no pot excloure sexennis, direccions ni complements estructurals de les pagues extraordinàries, ni reduir el percentatge de sou i triennis inclòs en elles.</w:t>
      </w:r>
      <w:r w:rsidRPr="00105033">
        <w:br/>
      </w:r>
      <w:r w:rsidRPr="00105033">
        <w:br/>
      </w:r>
      <w:r w:rsidRPr="00105033">
        <w:rPr>
          <w:b/>
          <w:bCs/>
        </w:rPr>
        <w:t>SISÉ. –</w:t>
      </w:r>
      <w:r w:rsidRPr="00105033">
        <w:t xml:space="preserve"> Que el complement de formació permanent (sexennis) i els complements vinculats a càrrecs de responsabilitat es perceben de manera regular, fixa i periòdica, que no depenen de productivitat ni gratificacions extraordinàries i que retribueixen funcions estructurals i habituals. Per tant, tenen necessàriament la consideració de retribucions complementàries estructurals, la inclusió de les quals en les pagues extraordinàries exigeix el EBEP i la jurisprudència.</w:t>
      </w:r>
      <w:r w:rsidRPr="00105033">
        <w:br/>
      </w:r>
      <w:r w:rsidRPr="00105033">
        <w:br/>
      </w:r>
      <w:r w:rsidRPr="00105033">
        <w:rPr>
          <w:b/>
          <w:bCs/>
        </w:rPr>
        <w:t>SETÉ. –</w:t>
      </w:r>
      <w:r w:rsidRPr="00105033">
        <w:t xml:space="preserve"> Que la pràctica seguida per l'Administració contradiu obertament l'article 22.4 EBEP, infringeix el principi de jerarquia normativa imposant limitacions establides en normes autonòmiques inferiors, provoca una reducció retributiva no emparada legalment i suposa un tracte desigual entre empleats públics al no respectar la mensualitat completa de retribucions exigida en les pagues extraordinàries.</w:t>
      </w:r>
      <w:r w:rsidRPr="00105033">
        <w:br/>
      </w:r>
      <w:r w:rsidRPr="00105033">
        <w:br/>
      </w:r>
      <w:r w:rsidRPr="00105033">
        <w:rPr>
          <w:b/>
          <w:bCs/>
        </w:rPr>
        <w:lastRenderedPageBreak/>
        <w:t>HUITÉ. –</w:t>
      </w:r>
      <w:r w:rsidRPr="00105033">
        <w:t xml:space="preserve"> Que conforme a l'article 25 de la Llei General Pressupostària i al règim supletori aplicable, es reconeix el dret del/de la sol·licitant a reclamar les quantitats indegudament deixades de percebre durant els últims quatre anys des de la data de la present reclamació, amb els corresponents interessos i regularització de cotitzacions.</w:t>
      </w:r>
      <w:r w:rsidRPr="00105033">
        <w:br/>
      </w:r>
      <w:r w:rsidRPr="00105033">
        <w:rPr>
          <w:b/>
          <w:bCs/>
        </w:rPr>
        <w:t>Per tot l'exposat,</w:t>
      </w:r>
    </w:p>
    <w:p w14:paraId="62C4C66D" w14:textId="25455BB1" w:rsidR="00105033" w:rsidRPr="00105033" w:rsidRDefault="00105033" w:rsidP="00105033">
      <w:pPr>
        <w:spacing w:line="360" w:lineRule="auto"/>
      </w:pPr>
      <w:r w:rsidRPr="00105033">
        <w:rPr>
          <w:b/>
          <w:bCs/>
        </w:rPr>
        <w:br/>
        <w:t>SOL·LICITA:</w:t>
      </w:r>
      <w:r w:rsidRPr="00105033">
        <w:rPr>
          <w:b/>
          <w:bCs/>
        </w:rPr>
        <w:br/>
        <w:t>PRIMER. –</w:t>
      </w:r>
      <w:r w:rsidRPr="00105033">
        <w:t xml:space="preserve"> Que es </w:t>
      </w:r>
      <w:proofErr w:type="spellStart"/>
      <w:r w:rsidRPr="00105033">
        <w:t>reconega</w:t>
      </w:r>
      <w:proofErr w:type="spellEnd"/>
      <w:r w:rsidRPr="00105033">
        <w:t xml:space="preserve"> el dret del/de la compareixent a percebre les pagues extraordinàries de juny i desembre per l'import íntegre d'una mensualitat, incloent:</w:t>
      </w:r>
    </w:p>
    <w:p w14:paraId="03096AF8" w14:textId="77777777" w:rsidR="00105033" w:rsidRPr="00105033" w:rsidRDefault="00105033" w:rsidP="00105033">
      <w:pPr>
        <w:pStyle w:val="Pargrafdellista"/>
        <w:numPr>
          <w:ilvl w:val="0"/>
          <w:numId w:val="11"/>
        </w:numPr>
        <w:spacing w:line="360" w:lineRule="auto"/>
      </w:pPr>
      <w:r w:rsidRPr="00105033">
        <w:t>El 100% del sou base,</w:t>
      </w:r>
    </w:p>
    <w:p w14:paraId="5CF458C3" w14:textId="0EBC7EA9" w:rsidR="00105033" w:rsidRPr="00105033" w:rsidRDefault="00105033" w:rsidP="00105033">
      <w:pPr>
        <w:pStyle w:val="Pargrafdellista"/>
        <w:numPr>
          <w:ilvl w:val="0"/>
          <w:numId w:val="11"/>
        </w:numPr>
        <w:spacing w:line="360" w:lineRule="auto"/>
      </w:pPr>
      <w:r w:rsidRPr="00105033">
        <w:t>El 100% dels triennis,</w:t>
      </w:r>
    </w:p>
    <w:p w14:paraId="4AD4E956" w14:textId="77777777" w:rsidR="00105033" w:rsidRPr="00105033" w:rsidRDefault="00105033" w:rsidP="00105033">
      <w:pPr>
        <w:pStyle w:val="Pargrafdellista"/>
        <w:numPr>
          <w:ilvl w:val="0"/>
          <w:numId w:val="12"/>
        </w:numPr>
        <w:spacing w:line="360" w:lineRule="auto"/>
        <w:rPr>
          <w:b/>
          <w:bCs/>
        </w:rPr>
      </w:pPr>
      <w:r w:rsidRPr="00105033">
        <w:t>La totalitat dels complements retributius fixos i periòdics, en particular el complement de formació permanent (sexennis), i els complements per direccions, càrrecs directius, coordinació o altres anàlegs (afegir-los, si procedeixen),</w:t>
      </w:r>
      <w:r w:rsidRPr="00105033">
        <w:br/>
        <w:t>Amb l'única exclusió dels conceptes de productivitat i gratificacions per serveis extraordinaris de l'art. 24.c) i d) EBEP.</w:t>
      </w:r>
    </w:p>
    <w:p w14:paraId="05941936" w14:textId="2969CA7D" w:rsidR="0042008E" w:rsidRPr="00105033" w:rsidRDefault="00105033" w:rsidP="00105033">
      <w:pPr>
        <w:spacing w:line="360" w:lineRule="auto"/>
        <w:ind w:left="360"/>
        <w:rPr>
          <w:b/>
          <w:bCs/>
        </w:rPr>
      </w:pPr>
      <w:r w:rsidRPr="00105033">
        <w:rPr>
          <w:b/>
          <w:bCs/>
        </w:rPr>
        <w:t>SEGON. –</w:t>
      </w:r>
      <w:r w:rsidRPr="00105033">
        <w:t xml:space="preserve"> Que es </w:t>
      </w:r>
      <w:proofErr w:type="spellStart"/>
      <w:r w:rsidRPr="00105033">
        <w:t>procedisca</w:t>
      </w:r>
      <w:proofErr w:type="spellEnd"/>
      <w:r w:rsidRPr="00105033">
        <w:t xml:space="preserve"> a:</w:t>
      </w:r>
      <w:r w:rsidRPr="00105033">
        <w:br/>
      </w:r>
      <w:r w:rsidRPr="00105033">
        <w:br/>
        <w:t xml:space="preserve">a) </w:t>
      </w:r>
      <w:proofErr w:type="spellStart"/>
      <w:r w:rsidRPr="00105033">
        <w:t>Recalcular</w:t>
      </w:r>
      <w:proofErr w:type="spellEnd"/>
      <w:r w:rsidRPr="00105033">
        <w:t xml:space="preserve"> totes les pagues extraordinàries generades en els últims quatre anys, conforme a l'article 22.4 EBEP, article 88 de la de la Llei 4/2021, de 16 d'abril, de la Funció Pública Valenciana, i la doctrina del Tribunal Suprem esmentada.</w:t>
      </w:r>
      <w:r w:rsidRPr="00105033">
        <w:br/>
        <w:t xml:space="preserve">b) Abonar les diferències retributives resultants, amb els interessos legals que </w:t>
      </w:r>
      <w:proofErr w:type="spellStart"/>
      <w:r w:rsidRPr="00105033">
        <w:t>procedisquen</w:t>
      </w:r>
      <w:proofErr w:type="spellEnd"/>
      <w:r w:rsidRPr="00105033">
        <w:t>.</w:t>
      </w:r>
      <w:r w:rsidRPr="00105033">
        <w:br/>
        <w:t>c) Regularitzar les cotitzacions corresponents enfront de la Seguretat Social.</w:t>
      </w:r>
      <w:r w:rsidRPr="00105033">
        <w:br/>
      </w:r>
      <w:r w:rsidRPr="00105033">
        <w:rPr>
          <w:b/>
          <w:bCs/>
        </w:rPr>
        <w:br/>
        <w:t>TERCER. –</w:t>
      </w:r>
      <w:r w:rsidRPr="00105033">
        <w:t xml:space="preserve"> Que es </w:t>
      </w:r>
      <w:proofErr w:type="spellStart"/>
      <w:r w:rsidRPr="00105033">
        <w:t>dicte</w:t>
      </w:r>
      <w:proofErr w:type="spellEnd"/>
      <w:r w:rsidRPr="00105033">
        <w:t xml:space="preserve"> resolució expressa i motivada, amb indicació dels recursos administratius o jurisdiccionals procedents.</w:t>
      </w:r>
      <w:r w:rsidRPr="00105033">
        <w:br/>
      </w:r>
      <w:r w:rsidRPr="00105033">
        <w:br/>
        <w:t>En ___________________, a ____ de ____________________ de 2025</w:t>
      </w:r>
      <w:r w:rsidRPr="00105033">
        <w:br/>
      </w:r>
      <w:r w:rsidRPr="00105033">
        <w:br/>
        <w:t>Signat: ______________________________________</w:t>
      </w:r>
      <w:r w:rsidRPr="00105033">
        <w:br/>
      </w:r>
      <w:r w:rsidRPr="00105033">
        <w:br/>
      </w:r>
      <w:r w:rsidRPr="00105033">
        <w:rPr>
          <w:b/>
          <w:bCs/>
        </w:rPr>
        <w:t>Sr/*</w:t>
      </w:r>
      <w:proofErr w:type="spellStart"/>
      <w:r w:rsidRPr="00105033">
        <w:rPr>
          <w:b/>
          <w:bCs/>
        </w:rPr>
        <w:t>Sra</w:t>
      </w:r>
      <w:proofErr w:type="spellEnd"/>
      <w:r w:rsidRPr="00105033">
        <w:rPr>
          <w:b/>
          <w:bCs/>
        </w:rPr>
        <w:t>: director/a Territorial d'Educació de_________</w:t>
      </w:r>
      <w:r w:rsidRPr="00105033">
        <w:rPr>
          <w:b/>
          <w:bCs/>
        </w:rPr>
        <w:t xml:space="preserve"> </w:t>
      </w:r>
      <w:r w:rsidRPr="00105033">
        <w:rPr>
          <w:b/>
          <w:bCs/>
        </w:rPr>
        <w:t>CONSELLERIA D'EDUCACIÓ, UNIVERSITATS I OCUPACIÓ</w:t>
      </w:r>
      <w:r w:rsidRPr="00105033">
        <w:rPr>
          <w:b/>
          <w:bCs/>
        </w:rPr>
        <w:t xml:space="preserve"> </w:t>
      </w:r>
      <w:r w:rsidRPr="00105033">
        <w:rPr>
          <w:b/>
          <w:bCs/>
        </w:rPr>
        <w:t>GENERALITAT VALENCIANA</w:t>
      </w:r>
    </w:p>
    <w:sectPr w:rsidR="0042008E" w:rsidRPr="00105033" w:rsidSect="008A2D02">
      <w:pgSz w:w="11920" w:h="16850"/>
      <w:pgMar w:top="1660" w:right="1020" w:bottom="1020" w:left="1020" w:header="669" w:footer="82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BBA"/>
    <w:multiLevelType w:val="hybridMultilevel"/>
    <w:tmpl w:val="FF1452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FA31B44"/>
    <w:multiLevelType w:val="hybridMultilevel"/>
    <w:tmpl w:val="47CCC1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27D7593"/>
    <w:multiLevelType w:val="hybridMultilevel"/>
    <w:tmpl w:val="D0F861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5C272DA"/>
    <w:multiLevelType w:val="hybridMultilevel"/>
    <w:tmpl w:val="D0FE3A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3C04289"/>
    <w:multiLevelType w:val="hybridMultilevel"/>
    <w:tmpl w:val="7BAE1D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5142D66"/>
    <w:multiLevelType w:val="hybridMultilevel"/>
    <w:tmpl w:val="D0283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8A724EF"/>
    <w:multiLevelType w:val="hybridMultilevel"/>
    <w:tmpl w:val="5D8C389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0615355"/>
    <w:multiLevelType w:val="hybridMultilevel"/>
    <w:tmpl w:val="30AA75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27D1EE2"/>
    <w:multiLevelType w:val="hybridMultilevel"/>
    <w:tmpl w:val="F93AAD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9967FA9"/>
    <w:multiLevelType w:val="hybridMultilevel"/>
    <w:tmpl w:val="8C087D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5F74F62"/>
    <w:multiLevelType w:val="hybridMultilevel"/>
    <w:tmpl w:val="44364DF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76446C61"/>
    <w:multiLevelType w:val="hybridMultilevel"/>
    <w:tmpl w:val="3CCA5A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54839361">
    <w:abstractNumId w:val="6"/>
  </w:num>
  <w:num w:numId="2" w16cid:durableId="1594514900">
    <w:abstractNumId w:val="8"/>
  </w:num>
  <w:num w:numId="3" w16cid:durableId="433210312">
    <w:abstractNumId w:val="1"/>
  </w:num>
  <w:num w:numId="4" w16cid:durableId="613095842">
    <w:abstractNumId w:val="3"/>
  </w:num>
  <w:num w:numId="5" w16cid:durableId="1946956027">
    <w:abstractNumId w:val="7"/>
  </w:num>
  <w:num w:numId="6" w16cid:durableId="1538735177">
    <w:abstractNumId w:val="11"/>
  </w:num>
  <w:num w:numId="7" w16cid:durableId="1151293792">
    <w:abstractNumId w:val="2"/>
  </w:num>
  <w:num w:numId="8" w16cid:durableId="1787695247">
    <w:abstractNumId w:val="0"/>
  </w:num>
  <w:num w:numId="9" w16cid:durableId="2015298967">
    <w:abstractNumId w:val="5"/>
  </w:num>
  <w:num w:numId="10" w16cid:durableId="438530134">
    <w:abstractNumId w:val="9"/>
  </w:num>
  <w:num w:numId="11" w16cid:durableId="1892382765">
    <w:abstractNumId w:val="4"/>
  </w:num>
  <w:num w:numId="12" w16cid:durableId="1050569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33"/>
    <w:rsid w:val="00105033"/>
    <w:rsid w:val="00275BA1"/>
    <w:rsid w:val="003B203B"/>
    <w:rsid w:val="0042008E"/>
    <w:rsid w:val="004C47F6"/>
    <w:rsid w:val="005309C3"/>
    <w:rsid w:val="008A2D02"/>
    <w:rsid w:val="009E05FC"/>
    <w:rsid w:val="00D661D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A9DB"/>
  <w15:chartTrackingRefBased/>
  <w15:docId w15:val="{B698B2BF-07FD-4EE8-BCA0-BB4BE76A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F6"/>
  </w:style>
  <w:style w:type="paragraph" w:styleId="Ttol1">
    <w:name w:val="heading 1"/>
    <w:basedOn w:val="Normal"/>
    <w:link w:val="Ttol1Car"/>
    <w:uiPriority w:val="9"/>
    <w:qFormat/>
    <w:rsid w:val="004C47F6"/>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ol2">
    <w:name w:val="heading 2"/>
    <w:basedOn w:val="Normal"/>
    <w:next w:val="Normal"/>
    <w:link w:val="Ttol2Car"/>
    <w:uiPriority w:val="9"/>
    <w:unhideWhenUsed/>
    <w:qFormat/>
    <w:rsid w:val="004C47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unhideWhenUsed/>
    <w:qFormat/>
    <w:rsid w:val="004C47F6"/>
    <w:pPr>
      <w:keepNext/>
      <w:keepLines/>
      <w:spacing w:before="200" w:after="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semiHidden/>
    <w:unhideWhenUsed/>
    <w:qFormat/>
    <w:rsid w:val="004C47F6"/>
    <w:pPr>
      <w:keepNext/>
      <w:keepLines/>
      <w:spacing w:before="200" w:after="0"/>
      <w:outlineLvl w:val="3"/>
    </w:pPr>
    <w:rPr>
      <w:rFonts w:asciiTheme="majorHAnsi" w:eastAsiaTheme="majorEastAsia" w:hAnsiTheme="majorHAnsi" w:cstheme="majorBidi"/>
      <w:b/>
      <w:bCs/>
      <w:i/>
      <w:iCs/>
      <w:color w:val="4F81BD" w:themeColor="accent1"/>
    </w:rPr>
  </w:style>
  <w:style w:type="paragraph" w:styleId="Ttol5">
    <w:name w:val="heading 5"/>
    <w:basedOn w:val="Normal"/>
    <w:next w:val="Normal"/>
    <w:link w:val="Ttol5Car"/>
    <w:uiPriority w:val="9"/>
    <w:semiHidden/>
    <w:unhideWhenUsed/>
    <w:qFormat/>
    <w:rsid w:val="004C47F6"/>
    <w:pPr>
      <w:keepNext/>
      <w:keepLines/>
      <w:spacing w:before="200" w:after="0"/>
      <w:outlineLvl w:val="4"/>
    </w:pPr>
    <w:rPr>
      <w:rFonts w:asciiTheme="majorHAnsi" w:eastAsiaTheme="majorEastAsia" w:hAnsiTheme="majorHAnsi" w:cstheme="majorBidi"/>
      <w:color w:val="243F60" w:themeColor="accent1" w:themeShade="7F"/>
    </w:rPr>
  </w:style>
  <w:style w:type="paragraph" w:styleId="Ttol6">
    <w:name w:val="heading 6"/>
    <w:basedOn w:val="Normal"/>
    <w:next w:val="Normal"/>
    <w:link w:val="Ttol6Car"/>
    <w:uiPriority w:val="9"/>
    <w:semiHidden/>
    <w:unhideWhenUsed/>
    <w:qFormat/>
    <w:rsid w:val="0010503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0503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0503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0503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C47F6"/>
    <w:rPr>
      <w:rFonts w:ascii="Times New Roman" w:eastAsia="Times New Roman" w:hAnsi="Times New Roman" w:cs="Times New Roman"/>
      <w:b/>
      <w:bCs/>
      <w:kern w:val="36"/>
      <w:sz w:val="48"/>
      <w:szCs w:val="48"/>
      <w:lang w:eastAsia="es-ES"/>
    </w:rPr>
  </w:style>
  <w:style w:type="character" w:customStyle="1" w:styleId="Ttol2Car">
    <w:name w:val="Títol 2 Car"/>
    <w:basedOn w:val="Lletraperdefectedelpargraf"/>
    <w:link w:val="Ttol2"/>
    <w:uiPriority w:val="9"/>
    <w:rsid w:val="004C47F6"/>
    <w:rPr>
      <w:rFonts w:asciiTheme="majorHAnsi" w:eastAsiaTheme="majorEastAsia" w:hAnsiTheme="majorHAnsi" w:cstheme="majorBidi"/>
      <w:b/>
      <w:bCs/>
      <w:color w:val="4F81BD" w:themeColor="accent1"/>
      <w:sz w:val="26"/>
      <w:szCs w:val="26"/>
      <w:lang w:val="en-GB"/>
    </w:rPr>
  </w:style>
  <w:style w:type="character" w:customStyle="1" w:styleId="Ttol3Car">
    <w:name w:val="Títol 3 Car"/>
    <w:basedOn w:val="Lletraperdefectedelpargraf"/>
    <w:link w:val="Ttol3"/>
    <w:uiPriority w:val="9"/>
    <w:rsid w:val="004C47F6"/>
    <w:rPr>
      <w:rFonts w:asciiTheme="majorHAnsi" w:eastAsiaTheme="majorEastAsia" w:hAnsiTheme="majorHAnsi" w:cstheme="majorBidi"/>
      <w:b/>
      <w:bCs/>
      <w:color w:val="4F81BD" w:themeColor="accent1"/>
      <w:lang w:val="en-GB"/>
    </w:rPr>
  </w:style>
  <w:style w:type="character" w:customStyle="1" w:styleId="Ttol4Car">
    <w:name w:val="Títol 4 Car"/>
    <w:basedOn w:val="Lletraperdefectedelpargraf"/>
    <w:link w:val="Ttol4"/>
    <w:uiPriority w:val="9"/>
    <w:semiHidden/>
    <w:rsid w:val="004C47F6"/>
    <w:rPr>
      <w:rFonts w:asciiTheme="majorHAnsi" w:eastAsiaTheme="majorEastAsia" w:hAnsiTheme="majorHAnsi" w:cstheme="majorBidi"/>
      <w:b/>
      <w:bCs/>
      <w:i/>
      <w:iCs/>
      <w:color w:val="4F81BD" w:themeColor="accent1"/>
      <w:lang w:val="en-GB"/>
    </w:rPr>
  </w:style>
  <w:style w:type="character" w:customStyle="1" w:styleId="Ttol5Car">
    <w:name w:val="Títol 5 Car"/>
    <w:basedOn w:val="Lletraperdefectedelpargraf"/>
    <w:link w:val="Ttol5"/>
    <w:uiPriority w:val="9"/>
    <w:semiHidden/>
    <w:rsid w:val="004C47F6"/>
    <w:rPr>
      <w:rFonts w:asciiTheme="majorHAnsi" w:eastAsiaTheme="majorEastAsia" w:hAnsiTheme="majorHAnsi" w:cstheme="majorBidi"/>
      <w:color w:val="243F60" w:themeColor="accent1" w:themeShade="7F"/>
      <w:lang w:val="en-GB"/>
    </w:rPr>
  </w:style>
  <w:style w:type="character" w:styleId="Textennegreta">
    <w:name w:val="Strong"/>
    <w:basedOn w:val="Lletraperdefectedelpargraf"/>
    <w:uiPriority w:val="22"/>
    <w:qFormat/>
    <w:rsid w:val="004C47F6"/>
    <w:rPr>
      <w:b/>
      <w:bCs/>
    </w:rPr>
  </w:style>
  <w:style w:type="paragraph" w:styleId="Pargrafdellista">
    <w:name w:val="List Paragraph"/>
    <w:basedOn w:val="Normal"/>
    <w:uiPriority w:val="34"/>
    <w:qFormat/>
    <w:rsid w:val="004C47F6"/>
    <w:pPr>
      <w:ind w:left="720"/>
      <w:contextualSpacing/>
    </w:pPr>
  </w:style>
  <w:style w:type="character" w:customStyle="1" w:styleId="Ttol6Car">
    <w:name w:val="Títol 6 Car"/>
    <w:basedOn w:val="Lletraperdefectedelpargraf"/>
    <w:link w:val="Ttol6"/>
    <w:uiPriority w:val="9"/>
    <w:semiHidden/>
    <w:rsid w:val="0010503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0503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0503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05033"/>
    <w:rPr>
      <w:rFonts w:eastAsiaTheme="majorEastAsia" w:cstheme="majorBidi"/>
      <w:color w:val="272727" w:themeColor="text1" w:themeTint="D8"/>
    </w:rPr>
  </w:style>
  <w:style w:type="paragraph" w:styleId="Ttol">
    <w:name w:val="Title"/>
    <w:basedOn w:val="Normal"/>
    <w:next w:val="Normal"/>
    <w:link w:val="TtolCar"/>
    <w:uiPriority w:val="10"/>
    <w:qFormat/>
    <w:rsid w:val="00105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0503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0503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050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033"/>
    <w:pPr>
      <w:spacing w:before="160"/>
      <w:jc w:val="center"/>
    </w:pPr>
    <w:rPr>
      <w:i/>
      <w:iCs/>
      <w:color w:val="404040" w:themeColor="text1" w:themeTint="BF"/>
    </w:rPr>
  </w:style>
  <w:style w:type="character" w:customStyle="1" w:styleId="CitaCar">
    <w:name w:val="Cita Car"/>
    <w:basedOn w:val="Lletraperdefectedelpargraf"/>
    <w:link w:val="Cita"/>
    <w:uiPriority w:val="29"/>
    <w:rsid w:val="00105033"/>
    <w:rPr>
      <w:i/>
      <w:iCs/>
      <w:color w:val="404040" w:themeColor="text1" w:themeTint="BF"/>
    </w:rPr>
  </w:style>
  <w:style w:type="character" w:styleId="mfasiintens">
    <w:name w:val="Intense Emphasis"/>
    <w:basedOn w:val="Lletraperdefectedelpargraf"/>
    <w:uiPriority w:val="21"/>
    <w:qFormat/>
    <w:rsid w:val="00105033"/>
    <w:rPr>
      <w:i/>
      <w:iCs/>
      <w:color w:val="365F91" w:themeColor="accent1" w:themeShade="BF"/>
    </w:rPr>
  </w:style>
  <w:style w:type="paragraph" w:styleId="Citaintensa">
    <w:name w:val="Intense Quote"/>
    <w:basedOn w:val="Normal"/>
    <w:next w:val="Normal"/>
    <w:link w:val="CitaintensaCar"/>
    <w:uiPriority w:val="30"/>
    <w:qFormat/>
    <w:rsid w:val="001050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intensaCar">
    <w:name w:val="Cita intensa Car"/>
    <w:basedOn w:val="Lletraperdefectedelpargraf"/>
    <w:link w:val="Citaintensa"/>
    <w:uiPriority w:val="30"/>
    <w:rsid w:val="00105033"/>
    <w:rPr>
      <w:i/>
      <w:iCs/>
      <w:color w:val="365F91" w:themeColor="accent1" w:themeShade="BF"/>
    </w:rPr>
  </w:style>
  <w:style w:type="character" w:styleId="Refernciaintensa">
    <w:name w:val="Intense Reference"/>
    <w:basedOn w:val="Lletraperdefectedelpargraf"/>
    <w:uiPriority w:val="32"/>
    <w:qFormat/>
    <w:rsid w:val="0010503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973</Words>
  <Characters>5550</Characters>
  <Application>Microsoft Office Word</Application>
  <DocSecurity>0</DocSecurity>
  <Lines>46</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2025-11-24T06:22:00Z</dcterms:created>
  <dcterms:modified xsi:type="dcterms:W3CDTF">2025-11-24T06:33:00Z</dcterms:modified>
</cp:coreProperties>
</file>